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Annexe 3.4</w:t>
      </w:r>
      <w:bookmarkStart w:id="0" w:name="_GoBack"/>
      <w:bookmarkEnd w:id="0"/>
      <w:r>
        <w:rPr>
          <w:b/>
        </w:rPr>
        <w:t xml:space="preserve"> </w:t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Modèle de budget prévisionnel</w:t>
      </w:r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1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 compléter en deux exemplaires : en année pleine et pour la première année de fonctionnement (ie. intégrant la montée en charge) et à annexer à la convention HUDA</w:t>
      </w:r>
    </w:p>
    <w:tbl>
      <w:tblPr>
        <w:tblW w:w="6752" w:type="dxa"/>
        <w:jc w:val="left"/>
        <w:tblInd w:w="-29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a0"/>
      </w:tblPr>
      <w:tblGrid>
        <w:gridCol w:w="4111"/>
        <w:gridCol w:w="2640"/>
      </w:tblGrid>
      <w:tr>
        <w:trPr>
          <w:trHeight w:val="435" w:hRule="atLeast"/>
        </w:trPr>
        <w:tc>
          <w:tcPr>
            <w:tcW w:w="411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4111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 de places gérées en 2019</w:t>
            </w:r>
          </w:p>
        </w:tc>
        <w:tc>
          <w:tcPr>
            <w:tcW w:w="2640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111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 de journées prévisionnelles en 2019</w:t>
            </w:r>
          </w:p>
        </w:tc>
        <w:tc>
          <w:tcPr>
            <w:tcW w:w="2640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spacing w:lineRule="auto" w:line="259" w:before="0" w:after="1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771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a0"/>
      </w:tblPr>
      <w:tblGrid>
        <w:gridCol w:w="2640"/>
        <w:gridCol w:w="2027"/>
        <w:gridCol w:w="2977"/>
        <w:gridCol w:w="2126"/>
      </w:tblGrid>
      <w:tr>
        <w:trPr>
          <w:trHeight w:val="375" w:hRule="atLeast"/>
        </w:trPr>
        <w:tc>
          <w:tcPr>
            <w:tcW w:w="26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>
        <w:trPr>
          <w:trHeight w:val="300" w:hRule="atLeast"/>
        </w:trPr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bookmarkStart w:id="1" w:name="RANGE!D21"/>
            <w:bookmarkEnd w:id="1"/>
            <w:r>
              <w:rPr>
                <w:color w:val="000000"/>
                <w:sz w:val="18"/>
                <w:szCs w:val="18"/>
              </w:rPr>
              <w:t>Intercommunalité(s) : EPCI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64- Charges de personnel</w:t>
            </w:r>
          </w:p>
        </w:tc>
        <w:tc>
          <w:tcPr>
            <w:tcW w:w="2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66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>
        <w:trPr>
          <w:trHeight w:val="82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977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000000" w:fill="CCFFFF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bookmarkStart w:id="2" w:name="RANGE!B45"/>
            <w:bookmarkEnd w:id="2"/>
            <w:r>
              <w:rPr>
                <w:b/>
                <w:bCs/>
                <w:color w:val="000000"/>
              </w:rPr>
              <w:t>CONTRIBUTIONS VOLONTAIRES</w:t>
            </w:r>
          </w:p>
        </w:tc>
      </w:tr>
      <w:tr>
        <w:trPr>
          <w:trHeight w:val="73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6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6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97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mc:AlternateContent>
        <mc:Choice Requires="wps">
          <w:drawing>
            <wp:inline distT="0" distB="0" distL="0" distR="0">
              <wp:extent cx="905510" cy="791210"/>
              <wp:effectExtent l="0" t="0" r="0" b="0"/>
              <wp:docPr id="1" name="Image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905040" cy="790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ID="Image 1" stroked="f" style="position:absolute;margin-left:0pt;margin-top:-62.3pt;width:71.2pt;height:62.2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  <w:p>
    <w:pPr>
      <w:pStyle w:val="Entt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e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db77db"/>
    <w:rPr>
      <w:rFonts w:ascii="Times New Roman" w:hAnsi="Times New Roman" w:cs="Times New Roman"/>
      <w:sz w:val="24"/>
      <w:szCs w:val="24"/>
      <w:lang w:eastAsia="fr-FR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db77db"/>
    <w:rPr>
      <w:rFonts w:ascii="Times New Roman" w:hAnsi="Times New Roman" w:cs="Times New Roman"/>
      <w:sz w:val="24"/>
      <w:szCs w:val="24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06a63"/>
    <w:rPr>
      <w:rFonts w:ascii="Segoe UI" w:hAnsi="Segoe UI" w:cs="Segoe UI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tte">
    <w:name w:val="Header"/>
    <w:basedOn w:val="Normal"/>
    <w:link w:val="HeaderChar"/>
    <w:uiPriority w:val="99"/>
    <w:rsid w:val="00db77db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rsid w:val="00db77db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06a6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LibreOffice/5.4.7.2.M10$Windows_X86_64 LibreOffice_project/8dd9c36825e498b9b45c610823c1129a3ee183ba</Application>
  <Pages>2</Pages>
  <Words>294</Words>
  <Characters>1805</Characters>
  <CharactersWithSpaces>2096</CharactersWithSpaces>
  <Paragraphs>145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2019-01-31T09:36:34Z</dcterms:created>
  <dc:creator/>
  <dc:description/>
  <dc:language>fr-FR</dc:language>
  <cp:lastModifiedBy/>
  <cp:revision>1</cp:revision>
  <dc:subject/>
  <dc:title>Annexe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